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5" w:rsidRDefault="004821F5" w:rsidP="004821F5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площадью 2000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в категории "Земли населенных пунктов", местоположение: Красноярский край, Енисейский район, д. </w:t>
      </w:r>
      <w:proofErr w:type="spellStart"/>
      <w:r>
        <w:rPr>
          <w:rFonts w:ascii="Noto Serif" w:hAnsi="Noto Serif"/>
          <w:color w:val="000000"/>
        </w:rPr>
        <w:t>Нижнешадрино</w:t>
      </w:r>
      <w:proofErr w:type="spellEnd"/>
      <w:r>
        <w:rPr>
          <w:rFonts w:ascii="Noto Serif" w:hAnsi="Noto Serif"/>
          <w:color w:val="000000"/>
        </w:rPr>
        <w:t>, ул. Береговая, 20, для строительства индивидуального жилого дома;</w:t>
      </w:r>
    </w:p>
    <w:p w:rsidR="004821F5" w:rsidRDefault="004821F5" w:rsidP="004821F5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площадью 3648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в категории "Земли населенных пунктов", местоположение: Красноярский край, Енисейский район, д. </w:t>
      </w:r>
      <w:proofErr w:type="spellStart"/>
      <w:r>
        <w:rPr>
          <w:rFonts w:ascii="Noto Serif" w:hAnsi="Noto Serif"/>
          <w:color w:val="000000"/>
        </w:rPr>
        <w:t>Нижнешадрино</w:t>
      </w:r>
      <w:proofErr w:type="spellEnd"/>
      <w:r>
        <w:rPr>
          <w:rFonts w:ascii="Noto Serif" w:hAnsi="Noto Serif"/>
          <w:color w:val="000000"/>
        </w:rPr>
        <w:t>, ул. Береговая, 3, для строительства индивидуального жилого дома.</w:t>
      </w:r>
    </w:p>
    <w:p w:rsidR="00336132" w:rsidRDefault="00336132">
      <w:bookmarkStart w:id="0" w:name="_GoBack"/>
      <w:bookmarkEnd w:id="0"/>
    </w:p>
    <w:sectPr w:rsidR="0033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3"/>
    <w:rsid w:val="00336132"/>
    <w:rsid w:val="004821F5"/>
    <w:rsid w:val="005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452B-56B5-46B1-8807-4DA74415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2021-08-14T05:17:00Z</dcterms:created>
  <dcterms:modified xsi:type="dcterms:W3CDTF">2021-08-14T05:17:00Z</dcterms:modified>
</cp:coreProperties>
</file>